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66" w:right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商学院2016级工商管理大类学生专业分流实施细则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按照《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西安财经学院“2+2”大类教学改革学生专业分流指导意见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》（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西财院教字[2017]5号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）相关规定，结合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学院实际情况，制定本实施细则。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一、组织领导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为了做好201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级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工商管理大类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本科生专业分流工作，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学院成立专业分流领导小组，确保专业分流工作公开、公正、公平。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组 长：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王新安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胡文斌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组长：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高林安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薛小刚  申渊源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成 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：周芸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何毅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陆曦  王亚娟  杜立琦  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级大类辅导员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  二、专业选择范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1.按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工商管理大类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招生的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商学院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级全日制本科生。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  2.专业范围限于学院内、所属“专业类”中包含的专业，并且学生在校期间仅有一次在所属“专业类”内选择专业的机会。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  3. 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级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工商管理大类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招生各专业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班级人数计划表，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见表1。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fill="FFFFFF"/>
        </w:rPr>
        <w:t xml:space="preserve">表1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fill="FFFFFF"/>
          <w:lang w:eastAsia="zh-CN"/>
        </w:rPr>
        <w:t>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fill="FFFFFF"/>
        </w:rPr>
        <w:t>学院201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fill="FFFFFF"/>
        </w:rPr>
        <w:t>级大类招生各专业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fill="FFFFFF"/>
          <w:lang w:eastAsia="zh-CN"/>
        </w:rPr>
        <w:t>班级人数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fill="FFFFFF"/>
        </w:rPr>
        <w:t>计划表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737"/>
        <w:gridCol w:w="1586"/>
        <w:gridCol w:w="18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lang w:eastAsia="zh-CN"/>
              </w:rPr>
              <w:t>专业类</w:t>
            </w:r>
          </w:p>
        </w:tc>
        <w:tc>
          <w:tcPr>
            <w:tcW w:w="17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专业名称</w:t>
            </w:r>
          </w:p>
        </w:tc>
        <w:tc>
          <w:tcPr>
            <w:tcW w:w="15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班级数</w:t>
            </w:r>
          </w:p>
        </w:tc>
        <w:tc>
          <w:tcPr>
            <w:tcW w:w="181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班级人数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工商管理类</w:t>
            </w:r>
          </w:p>
        </w:tc>
        <w:tc>
          <w:tcPr>
            <w:tcW w:w="17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工商管理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市场营销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人力资源管理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旅游管理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审计学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总人数</w:t>
            </w:r>
          </w:p>
        </w:tc>
        <w:tc>
          <w:tcPr>
            <w:tcW w:w="17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296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296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三、专业选择原则与办法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  1.所选专业只能在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工商管理大类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中选择，不允许跨大类选择专业。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  2.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按照“志愿优先”的原则，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根据前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学期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必修课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的平均成绩由高至低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的排名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，优先录取第一志愿，第一志愿额满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，则分流至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第二志愿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，以此类推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3.经补考或重修及格成绩一律按“60分”进行成绩核算；缓考成绩按实际分数计算。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4.对于转专业来的学生，其大一成绩，按照原来的（或者现在已经修读和替换的），进行计算。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5，对于从高年级复学、退学试读的学生，直接转入其原来专业。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四、专业选择程序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日前，学院</w:t>
      </w:r>
      <w:r>
        <w:rPr>
          <w:rFonts w:hint="default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制定2016级专业分流细则，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根据按大类培养各专业实际情况提出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各专业分流人数及班级设置计划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，</w:t>
      </w:r>
      <w:r>
        <w:rPr>
          <w:rFonts w:hint="default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并将设置计划报教务处，经学校专业分流工作领导小组审定。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审定后，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在学院内部发布。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 xml:space="preserve">  2.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日前，学生根据学院专业分流实施细则填报《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西安财经学院××学院学生专业分流志愿意向表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(附件1)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，班级收齐后统一并交至学院教务办。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 xml:space="preserve">  3.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日前，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学院依据学生志愿意向和教学资源现状，提出各专业人数及班级设置计划，并将设置计划报学校专业分流工作领导小组审定。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4.6月1日前，学院向学生公布本学院各专业分流学生人数和学生成绩排名，组织学生填报《西安财经学院××学院学生专业分流志愿表》（附件2），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eastAsia="zh-CN"/>
        </w:rPr>
        <w:t>班级收齐后统一并交至学院教务办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5.6月8日前，学院确定学生专业分流名单，经学院工作小组审议通过后公示3天。</w:t>
      </w:r>
      <w:r>
        <w:rPr>
          <w:rFonts w:hint="default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同时，向教务处报送各专业分班数量及各班级学生人数（附表3）。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6.6月15日前，学院将专业分流学生名单报教务处。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 xml:space="preserve">五、特殊情况处理办法   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  1.没有在规定时间内填报专业选择申报志愿的学生，视为放弃专业选择的权利，由学院统筹安排。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  2．《专业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分流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 xml:space="preserve">志愿表》必须由本人亲自填写，若他人代为填报，后果由本人自行承担。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学院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www.xaufe.edu.cn/Components/Download.aspx?ID=2017/201704/%E9%99%84%E4%BB%B61%EF%BC%9A%E3%80%8A%E8%A5%BF%E5%AE%89%E8%B4%A2%E7%BB%8F%E5%AD%A6%E9%99%A2%C3%97%C3%97%E5%AD%A6%E9%99%A2%E5%AD%A6%E7%94%9F%E4%B8%93%E4%B8%9A%E5%88%86%E6%B5%81%E5%BF%97%E6%84%BF%E6%84%8F%E5%90%91%E8%A1%A8%E3%80%8B.docx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"http://jiaowu.xaufe.edu.cn/UPLOADFILES/file/20170406/20170406181188038803.doc" \t "http://jiaowu.xaufe.edu.cn/_blank"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附件1：《西安财经学院××学院学生专业分流志愿意向表》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www.xaufe.edu.cn/Components/Download.aspx?ID=2017/201704/%E9%99%84%E4%BB%B62%EF%BC%9A%E3%80%8A%E8%A5%BF%E5%AE%89%E8%B4%A2%E7%BB%8F%E5%AD%A6%E9%99%A2%C3%97%C3%97%E5%AD%A6%E9%99%A2%E5%AD%A6%E7%94%9F%E4%B8%93%E4%B8%9A%E5%88%86%E6%B5%81%E5%BF%97%E6%84%BF%E8%A1%A8%E3%80%8B.docx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"http://jiaowu.xaufe.edu.cn/UPLOADFILES/file/20170406/20170406181280868086.doc" \t "http://jiaowu.xaufe.edu.cn/_blank"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附件2：《西安财经学院××学院学生专业分流志愿表》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  <w:r>
        <w:rPr>
          <w:rFonts w:ascii="仿宋_GB2312" w:hAnsi="仿宋_GB2312" w:eastAsia="仿宋_GB2312" w:cs="仿宋_GB2312"/>
          <w:sz w:val="24"/>
        </w:rPr>
        <w:t>1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西安财经学院大类招生专业分流志愿意向表</w:t>
      </w:r>
    </w:p>
    <w:p>
      <w:pPr>
        <w:rPr>
          <w:sz w:val="24"/>
        </w:rPr>
      </w:pP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60"/>
        <w:gridCol w:w="900"/>
        <w:gridCol w:w="162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大类名称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专业分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流意向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（限填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类内的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168" w:firstLineChars="9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学生本人签字：</w:t>
            </w: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firstLine="321" w:firstLineChars="100"/>
        <w:jc w:val="center"/>
        <w:rPr>
          <w:sz w:val="28"/>
        </w:rPr>
      </w:pPr>
      <w:r>
        <w:rPr>
          <w:b/>
          <w:bCs/>
          <w:sz w:val="32"/>
        </w:rPr>
        <w:t xml:space="preserve">                                    </w:t>
      </w:r>
      <w:r>
        <w:rPr>
          <w:rFonts w:hint="eastAsia" w:ascii="宋体" w:hAnsi="宋体"/>
          <w:sz w:val="24"/>
        </w:rPr>
        <w:t>教务处制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西安财经学院大类招生专业分流志愿意向表</w:t>
      </w:r>
    </w:p>
    <w:p>
      <w:pPr>
        <w:rPr>
          <w:sz w:val="24"/>
        </w:rPr>
      </w:pP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60"/>
        <w:gridCol w:w="900"/>
        <w:gridCol w:w="162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大类名称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专业分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流意向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（限填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类内的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168" w:firstLineChars="9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学生本人签字：</w:t>
            </w: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firstLine="321" w:firstLineChars="100"/>
        <w:jc w:val="center"/>
        <w:rPr>
          <w:sz w:val="28"/>
        </w:rPr>
      </w:pPr>
      <w:r>
        <w:rPr>
          <w:b/>
          <w:bCs/>
          <w:sz w:val="32"/>
        </w:rPr>
        <w:t xml:space="preserve">                                    </w:t>
      </w:r>
      <w:r>
        <w:rPr>
          <w:rFonts w:hint="eastAsia" w:ascii="宋体" w:hAnsi="宋体"/>
          <w:sz w:val="24"/>
        </w:rPr>
        <w:t>教务处制</w:t>
      </w:r>
    </w:p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  <w:r>
        <w:rPr>
          <w:rFonts w:ascii="仿宋_GB2312" w:hAnsi="仿宋_GB2312" w:eastAsia="仿宋_GB2312" w:cs="仿宋_GB2312"/>
          <w:sz w:val="24"/>
        </w:rPr>
        <w:t>2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西安财经学院大类招生专业分流志愿表</w:t>
      </w:r>
    </w:p>
    <w:p>
      <w:pPr>
        <w:jc w:val="center"/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60"/>
        <w:gridCol w:w="900"/>
        <w:gridCol w:w="162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大类名称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4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专业分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流意向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（限填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类内的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168" w:firstLineChars="9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第六志愿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学生本人签字：</w:t>
            </w: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397" w:firstLineChars="9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548" w:type="dxa"/>
            <w:gridSpan w:val="2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360" w:lineRule="auto"/>
              <w:ind w:left="3041" w:leftChars="248" w:hanging="2520" w:hangingChars="1200"/>
              <w:jc w:val="center"/>
            </w:pPr>
          </w:p>
          <w:p>
            <w:pPr>
              <w:spacing w:line="360" w:lineRule="auto"/>
              <w:ind w:left="3041" w:leftChars="248" w:hanging="2520" w:hangingChars="1200"/>
              <w:jc w:val="center"/>
            </w:pPr>
          </w:p>
          <w:p>
            <w:pPr>
              <w:spacing w:line="360" w:lineRule="auto"/>
              <w:ind w:left="3041" w:leftChars="248" w:hanging="2520" w:hangingChars="1200"/>
              <w:jc w:val="center"/>
            </w:pPr>
          </w:p>
          <w:p>
            <w:pPr>
              <w:spacing w:line="360" w:lineRule="auto"/>
              <w:ind w:left="3041" w:leftChars="248" w:hanging="2520" w:hangingChars="1200"/>
              <w:jc w:val="center"/>
            </w:pPr>
          </w:p>
          <w:p>
            <w:pPr>
              <w:spacing w:line="360" w:lineRule="auto"/>
              <w:ind w:left="3041" w:leftChars="248" w:hanging="2520" w:hangingChars="1200"/>
              <w:jc w:val="center"/>
            </w:pPr>
          </w:p>
          <w:p>
            <w:pPr>
              <w:spacing w:line="360" w:lineRule="auto"/>
            </w:pPr>
          </w:p>
        </w:tc>
      </w:tr>
    </w:tbl>
    <w:p>
      <w:pPr>
        <w:ind w:firstLine="321" w:firstLineChars="100"/>
        <w:jc w:val="center"/>
        <w:rPr>
          <w:rFonts w:ascii="仿宋_GB2312" w:hAnsi="宋体" w:eastAsia="仿宋_GB2312"/>
          <w:color w:val="333333"/>
          <w:kern w:val="0"/>
          <w:sz w:val="28"/>
          <w:szCs w:val="28"/>
        </w:rPr>
      </w:pPr>
      <w:r>
        <w:rPr>
          <w:b/>
          <w:bCs/>
          <w:sz w:val="32"/>
        </w:rPr>
        <w:t xml:space="preserve">                                    </w:t>
      </w:r>
      <w:r>
        <w:rPr>
          <w:rFonts w:hint="eastAsia" w:ascii="宋体" w:hAnsi="宋体"/>
          <w:sz w:val="24"/>
        </w:rPr>
        <w:t>教务处制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263B"/>
    <w:rsid w:val="09AA23FA"/>
    <w:rsid w:val="0E484B8C"/>
    <w:rsid w:val="12C256B8"/>
    <w:rsid w:val="14441197"/>
    <w:rsid w:val="1604080A"/>
    <w:rsid w:val="177B5DD8"/>
    <w:rsid w:val="194701A8"/>
    <w:rsid w:val="1E2F3ADB"/>
    <w:rsid w:val="20AA332E"/>
    <w:rsid w:val="266C24ED"/>
    <w:rsid w:val="26B06101"/>
    <w:rsid w:val="291458E4"/>
    <w:rsid w:val="2ED71A40"/>
    <w:rsid w:val="2ED96B4B"/>
    <w:rsid w:val="2F8553C8"/>
    <w:rsid w:val="32190619"/>
    <w:rsid w:val="35433CBF"/>
    <w:rsid w:val="38D32A37"/>
    <w:rsid w:val="392350C0"/>
    <w:rsid w:val="43020D29"/>
    <w:rsid w:val="43D9039A"/>
    <w:rsid w:val="4761190D"/>
    <w:rsid w:val="497F7845"/>
    <w:rsid w:val="4AE470FC"/>
    <w:rsid w:val="4BA708B7"/>
    <w:rsid w:val="50107C83"/>
    <w:rsid w:val="5214217B"/>
    <w:rsid w:val="53883F51"/>
    <w:rsid w:val="544B28F9"/>
    <w:rsid w:val="5BBD0DE0"/>
    <w:rsid w:val="5FA20F9E"/>
    <w:rsid w:val="69303DAA"/>
    <w:rsid w:val="76661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sz w:val="18"/>
      <w:szCs w:val="18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extprev"/>
    <w:basedOn w:val="3"/>
    <w:qFormat/>
    <w:uiPriority w:val="0"/>
    <w:rPr>
      <w:color w:val="999999"/>
    </w:rPr>
  </w:style>
  <w:style w:type="character" w:customStyle="1" w:styleId="9">
    <w:name w:val="current"/>
    <w:basedOn w:val="3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sxyjw</dc:creator>
  <cp:lastModifiedBy>sxyjw</cp:lastModifiedBy>
  <cp:lastPrinted>2018-06-01T01:02:18Z</cp:lastPrinted>
  <dcterms:modified xsi:type="dcterms:W3CDTF">2018-06-01T01:08:57Z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